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B416F6" w:rsidRDefault="00B416F6" w:rsidP="00E354F1">
      <w:pPr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</w:pPr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Temeljem Uredbe Komisije (EU) br. 1407/2013 od 18. prosinca 2013. o primjeni članaka 107. i 108. Ugovora o funkcioniranju Europske unije na </w:t>
      </w:r>
      <w:r w:rsidRPr="00B416F6">
        <w:rPr>
          <w:rFonts w:asciiTheme="minorHAnsi" w:eastAsia="PMingLiU" w:hAnsiTheme="minorHAnsi" w:cs="Arial"/>
          <w:bCs/>
          <w:i/>
          <w:sz w:val="22"/>
          <w:szCs w:val="22"/>
          <w:lang w:eastAsia="zh-TW"/>
        </w:rPr>
        <w:t xml:space="preserve">de </w:t>
      </w:r>
      <w:proofErr w:type="spellStart"/>
      <w:r w:rsidRPr="00B416F6">
        <w:rPr>
          <w:rFonts w:asciiTheme="minorHAnsi" w:eastAsia="PMingLiU" w:hAnsiTheme="minorHAnsi" w:cs="Arial"/>
          <w:bCs/>
          <w:i/>
          <w:sz w:val="22"/>
          <w:szCs w:val="22"/>
          <w:lang w:eastAsia="zh-TW"/>
        </w:rPr>
        <w:t>minimis</w:t>
      </w:r>
      <w:proofErr w:type="spellEnd"/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 potpore </w:t>
      </w:r>
      <w:r w:rsidRPr="00B416F6"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C30D9B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C30D9B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C30D9B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C30D9B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91" w:rsidRDefault="00A73091" w:rsidP="0096777D">
      <w:r>
        <w:separator/>
      </w:r>
    </w:p>
  </w:endnote>
  <w:endnote w:type="continuationSeparator" w:id="0">
    <w:p w:rsidR="00A73091" w:rsidRDefault="00A7309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91" w:rsidRDefault="00A73091" w:rsidP="0096777D">
      <w:r>
        <w:separator/>
      </w:r>
    </w:p>
  </w:footnote>
  <w:footnote w:type="continuationSeparator" w:id="0">
    <w:p w:rsidR="00A73091" w:rsidRDefault="00A7309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1036-44CA-4D65-98AD-3DFD9BF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Prgomet</cp:lastModifiedBy>
  <cp:revision>5</cp:revision>
  <cp:lastPrinted>2013-01-11T13:36:00Z</cp:lastPrinted>
  <dcterms:created xsi:type="dcterms:W3CDTF">2016-01-25T10:57:00Z</dcterms:created>
  <dcterms:modified xsi:type="dcterms:W3CDTF">2018-02-08T09:50:00Z</dcterms:modified>
</cp:coreProperties>
</file>